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pStyle w:val="Style_1"/>
        <w:rPr>
          <w:b w:val="1"/>
        </w:rPr>
      </w:pPr>
      <w:r>
        <w:rPr>
          <w:b w:val="1"/>
        </w:rPr>
        <w:t>Регламент ввоза, вывоза, монтаж, демонтаж_Пентхаус</w:t>
      </w:r>
    </w:p>
    <w:p w14:paraId="02000000">
      <w:pPr>
        <w:pStyle w:val="Style_1"/>
      </w:pPr>
    </w:p>
    <w:p w14:paraId="03000000">
      <w:pPr>
        <w:pStyle w:val="Style_1"/>
      </w:pPr>
      <w:r>
        <w:rPr>
          <w:b w:val="1"/>
        </w:rPr>
        <w:t>А</w:t>
      </w:r>
      <w:r>
        <w:rPr>
          <w:rFonts w:ascii="XO Thames" w:hAnsi="XO Thames"/>
          <w:b w:val="1"/>
          <w:sz w:val="28"/>
        </w:rPr>
        <w:t>дрес</w:t>
      </w:r>
      <w:r>
        <w:rPr>
          <w:rFonts w:ascii="XO Thames" w:hAnsi="XO Thames"/>
          <w:b w:val="1"/>
          <w:sz w:val="28"/>
        </w:rPr>
        <w:t>:</w:t>
      </w:r>
      <w:r>
        <w:rPr>
          <w:rFonts w:ascii="XO Thames" w:hAnsi="XO Thames"/>
          <w:sz w:val="28"/>
        </w:rPr>
        <w:t xml:space="preserve"> </w:t>
      </w:r>
      <w:r>
        <w:rPr>
          <w:rFonts w:ascii="XO Thames" w:hAnsi="XO Thames"/>
          <w:b w:val="0"/>
          <w:i w:val="0"/>
          <w:caps w:val="0"/>
          <w:color w:val="000000"/>
          <w:spacing w:val="0"/>
          <w:sz w:val="28"/>
        </w:rPr>
        <w:t>1-я Тверская-Ямская ул, 2</w:t>
      </w:r>
    </w:p>
    <w:p w14:paraId="04000000">
      <w:pPr>
        <w:pStyle w:val="Style_1"/>
      </w:pPr>
    </w:p>
    <w:p w14:paraId="05000000">
      <w:pPr>
        <w:pStyle w:val="Style_1"/>
      </w:pPr>
      <w:r>
        <w:rPr>
          <w:b w:val="1"/>
        </w:rPr>
        <w:t xml:space="preserve">Заезд </w:t>
      </w:r>
      <w:r>
        <w:t>на разгрузку, погрузку с Оружейного переулка на 2-ю Тверскую Ямскую ул. На грузовом лифте на 9й этаж.</w:t>
      </w:r>
    </w:p>
    <w:p w14:paraId="06000000">
      <w:pPr>
        <w:pStyle w:val="Style_1"/>
      </w:pPr>
      <w:r>
        <w:drawing>
          <wp:inline>
            <wp:extent cx="3871912" cy="3319462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3871912" cy="331946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>
            <wp:extent cx="2381249" cy="3186112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2381249" cy="318611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7000000">
      <w:pPr>
        <w:pStyle w:val="Style_1"/>
      </w:pPr>
    </w:p>
    <w:p w14:paraId="08000000">
      <w:pPr>
        <w:pStyle w:val="Style_1"/>
      </w:pPr>
    </w:p>
    <w:p w14:paraId="09000000">
      <w:pPr>
        <w:pStyle w:val="Style_1"/>
      </w:pPr>
      <w:r>
        <w:rPr>
          <w:b w:val="1"/>
        </w:rPr>
        <w:t>Время на шумные работы:</w:t>
      </w:r>
      <w:r>
        <w:t xml:space="preserve"> с 09:00-19:00, тихий час 13:00-15:00</w:t>
      </w:r>
    </w:p>
    <w:p w14:paraId="0A000000">
      <w:pPr>
        <w:pStyle w:val="Style_1"/>
      </w:pPr>
      <w:r>
        <w:rPr>
          <w:b w:val="1"/>
        </w:rPr>
        <w:t>Время на тихие работы:</w:t>
      </w:r>
      <w:r>
        <w:t xml:space="preserve"> круглосуточно.</w:t>
      </w:r>
    </w:p>
    <w:p w14:paraId="0B000000">
      <w:pPr>
        <w:pStyle w:val="Style_1"/>
      </w:pPr>
    </w:p>
    <w:p w14:paraId="0C000000">
      <w:pPr>
        <w:pStyle w:val="Style_1"/>
        <w:rPr>
          <w:b w:val="1"/>
        </w:rPr>
      </w:pPr>
      <w:r>
        <w:rPr>
          <w:b w:val="1"/>
        </w:rPr>
        <w:t>Параметры проемов:</w:t>
      </w:r>
    </w:p>
    <w:p w14:paraId="0D000000">
      <w:pPr>
        <w:pStyle w:val="Style_1"/>
        <w:numPr>
          <w:numId w:val="1"/>
        </w:numPr>
      </w:pPr>
      <w:r>
        <w:t>Двери к грузовому лифту с Оружейного: ширина 120см, высота 233см</w:t>
      </w:r>
    </w:p>
    <w:p w14:paraId="0E000000">
      <w:pPr>
        <w:pStyle w:val="Style_1"/>
      </w:pPr>
      <w:r>
        <w:drawing>
          <wp:inline>
            <wp:extent cx="2095500" cy="2924174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2095500" cy="29241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000000">
      <w:pPr>
        <w:pStyle w:val="Style_1"/>
      </w:pPr>
    </w:p>
    <w:p w14:paraId="10000000">
      <w:pPr>
        <w:pStyle w:val="Style_1"/>
        <w:numPr>
          <w:numId w:val="2"/>
        </w:numPr>
      </w:pPr>
      <w:r>
        <w:t>По лестнице: ширина 140см</w:t>
      </w:r>
    </w:p>
    <w:p w14:paraId="11000000">
      <w:pPr>
        <w:pStyle w:val="Style_1"/>
      </w:pPr>
      <w:r>
        <w:drawing>
          <wp:inline>
            <wp:extent cx="2686049" cy="3590924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2686049" cy="35909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000000">
      <w:pPr>
        <w:pStyle w:val="Style_1"/>
        <w:rPr>
          <w:color w:val="FB290D"/>
        </w:rPr>
      </w:pPr>
    </w:p>
    <w:p w14:paraId="13000000">
      <w:pPr>
        <w:pStyle w:val="Style_1"/>
      </w:pPr>
    </w:p>
    <w:p w14:paraId="14000000">
      <w:pPr>
        <w:pStyle w:val="Style_1"/>
        <w:numPr>
          <w:numId w:val="3"/>
        </w:numPr>
        <w:rPr>
          <w:color w:val="000000"/>
        </w:rPr>
      </w:pPr>
      <w:r>
        <w:rPr>
          <w:color w:val="000000"/>
        </w:rPr>
        <w:t>Грузовой лифт двери: ширина 118см, высота 235см (внутри лифта периметр 140х200см, высота – 250см)</w:t>
      </w:r>
    </w:p>
    <w:p w14:paraId="15000000">
      <w:pPr>
        <w:pStyle w:val="Style_1"/>
        <w:numPr>
          <w:numId w:val="4"/>
        </w:numPr>
        <w:rPr>
          <w:color w:val="000000"/>
        </w:rPr>
      </w:pPr>
      <w:r>
        <w:rPr>
          <w:color w:val="000000"/>
        </w:rPr>
        <w:t>Проем на 5м этаже после грузового лифта: ширина 110см, высота 240см</w:t>
      </w:r>
    </w:p>
    <w:p w14:paraId="16000000">
      <w:pPr>
        <w:pStyle w:val="Style_1"/>
        <w:rPr>
          <w:color w:val="000000"/>
        </w:rPr>
      </w:pPr>
      <w:r>
        <w:drawing>
          <wp:inline>
            <wp:extent cx="2681287" cy="3833812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2681287" cy="383381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00000">
      <w:pPr>
        <w:pStyle w:val="Style_1"/>
      </w:pPr>
    </w:p>
    <w:p w14:paraId="18000000">
      <w:pPr>
        <w:pStyle w:val="Style_1"/>
        <w:numPr>
          <w:numId w:val="5"/>
        </w:numPr>
      </w:pPr>
      <w:r>
        <w:t>Проем к курилке и туалету: ширина 110см</w:t>
      </w:r>
      <w:r>
        <w:rPr>
          <w:color w:val="FB290D"/>
        </w:rPr>
        <w:t xml:space="preserve"> </w:t>
      </w:r>
    </w:p>
    <w:p w14:paraId="19000000">
      <w:pPr>
        <w:pStyle w:val="Style_1"/>
      </w:pPr>
    </w:p>
    <w:p w14:paraId="1A000000">
      <w:pPr>
        <w:pStyle w:val="Style_1"/>
      </w:pPr>
      <w:r>
        <w:drawing>
          <wp:inline>
            <wp:extent cx="2852737" cy="3876674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2852737" cy="38766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B000000">
      <w:pPr>
        <w:pStyle w:val="Style_1"/>
      </w:pPr>
    </w:p>
    <w:p w14:paraId="1C000000">
      <w:pPr>
        <w:pStyle w:val="Style_1"/>
        <w:numPr>
          <w:numId w:val="6"/>
        </w:numPr>
      </w:pPr>
      <w:r>
        <w:t>Терраса, ширина дверей – 140см</w:t>
      </w:r>
    </w:p>
    <w:p w14:paraId="1D000000">
      <w:pPr>
        <w:pStyle w:val="Style_1"/>
      </w:pPr>
      <w:r>
        <w:drawing>
          <wp:inline>
            <wp:extent cx="2828924" cy="3824287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2828924" cy="38242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00000">
      <w:pPr>
        <w:pStyle w:val="Style_1"/>
      </w:pPr>
    </w:p>
    <w:p w14:paraId="1F000000">
      <w:pPr>
        <w:pStyle w:val="Style_1"/>
      </w:pPr>
    </w:p>
    <w:p w14:paraId="20000000">
      <w:pPr>
        <w:pStyle w:val="Style_1"/>
      </w:pPr>
    </w:p>
    <w:p w14:paraId="21000000">
      <w:pPr>
        <w:pStyle w:val="Style_1"/>
      </w:pP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heading 3"/>
    <w:next w:val="Style_1"/>
    <w:link w:val="Style_6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6_ch" w:type="character">
    <w:name w:val="heading 3"/>
    <w:link w:val="Style_6"/>
    <w:rPr>
      <w:rFonts w:ascii="XO Thames" w:hAnsi="XO Thames"/>
      <w:b w:val="1"/>
      <w:sz w:val="26"/>
    </w:rPr>
  </w:style>
  <w:style w:styleId="Style_7" w:type="paragraph">
    <w:name w:val="toc 3"/>
    <w:next w:val="Style_1"/>
    <w:link w:val="Style_7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7_ch" w:type="character">
    <w:name w:val="toc 3"/>
    <w:link w:val="Style_7"/>
    <w:rPr>
      <w:rFonts w:ascii="XO Thames" w:hAnsi="XO Thames"/>
      <w:sz w:val="28"/>
    </w:rPr>
  </w:style>
  <w:style w:styleId="Style_8" w:type="paragraph">
    <w:name w:val="heading 5"/>
    <w:next w:val="Style_1"/>
    <w:link w:val="Style_8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8_ch" w:type="character">
    <w:name w:val="heading 5"/>
    <w:link w:val="Style_8"/>
    <w:rPr>
      <w:rFonts w:ascii="XO Thames" w:hAnsi="XO Thames"/>
      <w:b w:val="1"/>
      <w:sz w:val="22"/>
    </w:rPr>
  </w:style>
  <w:style w:styleId="Style_9" w:type="paragraph">
    <w:name w:val="heading 1"/>
    <w:next w:val="Style_1"/>
    <w:link w:val="Style_9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9_ch" w:type="character">
    <w:name w:val="heading 1"/>
    <w:link w:val="Style_9"/>
    <w:rPr>
      <w:rFonts w:ascii="XO Thames" w:hAnsi="XO Thames"/>
      <w:b w:val="1"/>
      <w:sz w:val="32"/>
    </w:rPr>
  </w:style>
  <w:style w:styleId="Style_10" w:type="paragraph">
    <w:name w:val="Hyperlink"/>
    <w:link w:val="Style_10_ch"/>
    <w:rPr>
      <w:color w:val="0000FF"/>
      <w:u w:val="single"/>
    </w:rPr>
  </w:style>
  <w:style w:styleId="Style_10_ch" w:type="character">
    <w:name w:val="Hyperlink"/>
    <w:link w:val="Style_10"/>
    <w:rPr>
      <w:color w:val="0000FF"/>
      <w:u w:val="single"/>
    </w:rPr>
  </w:style>
  <w:style w:styleId="Style_11" w:type="paragraph">
    <w:name w:val="Footnote"/>
    <w:link w:val="Style_11_ch"/>
    <w:pPr>
      <w:ind w:firstLine="851" w:left="0"/>
      <w:jc w:val="both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1"/>
    <w:link w:val="Style_12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2_ch" w:type="character">
    <w:name w:val="toc 1"/>
    <w:link w:val="Style_12"/>
    <w:rPr>
      <w:rFonts w:ascii="XO Thames" w:hAnsi="XO Thames"/>
      <w:b w:val="1"/>
      <w:sz w:val="28"/>
    </w:rPr>
  </w:style>
  <w:style w:styleId="Style_13" w:type="paragraph">
    <w:name w:val="Header and Footer"/>
    <w:link w:val="Style_13_ch"/>
    <w:pPr>
      <w:spacing w:line="240" w:lineRule="auto"/>
      <w:ind/>
      <w:jc w:val="both"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1"/>
    <w:link w:val="Style_14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4_ch" w:type="character">
    <w:name w:val="toc 9"/>
    <w:link w:val="Style_14"/>
    <w:rPr>
      <w:rFonts w:ascii="XO Thames" w:hAnsi="XO Thames"/>
      <w:sz w:val="28"/>
    </w:rPr>
  </w:style>
  <w:style w:styleId="Style_15" w:type="paragraph">
    <w:name w:val="toc 8"/>
    <w:next w:val="Style_1"/>
    <w:link w:val="Style_15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5_ch" w:type="character">
    <w:name w:val="toc 8"/>
    <w:link w:val="Style_15"/>
    <w:rPr>
      <w:rFonts w:ascii="XO Thames" w:hAnsi="XO Thames"/>
      <w:sz w:val="28"/>
    </w:rPr>
  </w:style>
  <w:style w:styleId="Style_16" w:type="paragraph">
    <w:name w:val="toc 5"/>
    <w:next w:val="Style_1"/>
    <w:link w:val="Style_1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6_ch" w:type="character">
    <w:name w:val="toc 5"/>
    <w:link w:val="Style_16"/>
    <w:rPr>
      <w:rFonts w:ascii="XO Thames" w:hAnsi="XO Thames"/>
      <w:sz w:val="28"/>
    </w:rPr>
  </w:style>
  <w:style w:styleId="Style_17" w:type="paragraph">
    <w:name w:val="Subtitle"/>
    <w:next w:val="Style_1"/>
    <w:link w:val="Style_1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7_ch" w:type="character">
    <w:name w:val="Subtitle"/>
    <w:link w:val="Style_17"/>
    <w:rPr>
      <w:rFonts w:ascii="XO Thames" w:hAnsi="XO Thames"/>
      <w:i w:val="1"/>
      <w:sz w:val="24"/>
    </w:rPr>
  </w:style>
  <w:style w:styleId="Style_18" w:type="paragraph">
    <w:name w:val="toc 10"/>
    <w:next w:val="Style_1"/>
    <w:link w:val="Style_18_ch"/>
    <w:uiPriority w:val="39"/>
    <w:pPr>
      <w:ind w:firstLine="0" w:left="1800"/>
      <w:jc w:val="left"/>
    </w:pPr>
    <w:rPr>
      <w:rFonts w:ascii="XO Thames" w:hAnsi="XO Thames"/>
      <w:sz w:val="28"/>
    </w:rPr>
  </w:style>
  <w:style w:styleId="Style_18_ch" w:type="character">
    <w:name w:val="toc 10"/>
    <w:link w:val="Style_18"/>
    <w:rPr>
      <w:rFonts w:ascii="XO Thames" w:hAnsi="XO Thames"/>
      <w:sz w:val="28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1" Target="stylesWithEffects.xml" Type="http://schemas.microsoft.com/office/2007/relationships/stylesWithEffects"/>
  <Relationship Id="rId10" Target="styles.xml" Type="http://schemas.openxmlformats.org/officeDocument/2006/relationships/styles"/>
  <Relationship Id="rId14" Target="numbering.xml" Type="http://schemas.openxmlformats.org/officeDocument/2006/relationships/numbering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3" Target="theme/theme1.xml" Type="http://schemas.openxmlformats.org/officeDocument/2006/relationships/theme"/>
  <Relationship Id="rId9" Target="settings.xml" Type="http://schemas.openxmlformats.org/officeDocument/2006/relationships/settings"/>
  <Relationship Id="rId5" Target="media/5.png" Type="http://schemas.openxmlformats.org/officeDocument/2006/relationships/image"/>
  <Relationship Id="rId8" Target="fontTable.xml" Type="http://schemas.openxmlformats.org/officeDocument/2006/relationships/fontTable"/>
  <Relationship Id="rId4" Target="media/4.png" Type="http://schemas.openxmlformats.org/officeDocument/2006/relationships/image"/>
  <Relationship Id="rId12" Target="webSettings.xml" Type="http://schemas.openxmlformats.org/officeDocument/2006/relationships/webSettings"/>
  <Relationship Id="rId3" Target="media/3.png" Type="http://schemas.openxmlformats.org/officeDocument/2006/relationships/image"/>
  <Relationship Id="rId2" Target="media/2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svg="http://schemas.microsoft.com/office/drawing/2016/SVG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MyOffice-CoreFramework-Windows/24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2025-09-05T11:36:26Z</dcterms:modified>
</cp:coreProperties>
</file>